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76"/>
        <w:ind w:hanging="0" w:left="0"/>
        <w:jc w:val="center"/>
        <w:rPr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2" wp14:anchorId="28EFFE0F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0" t="0" r="0" b="0"/>
                <wp:wrapNone/>
                <wp:docPr id="1" name="Retângulo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ângulo 5" path="m0,0l-2147483645,0l-2147483645,-2147483646l0,-2147483646xe" stroked="f" o:allowincell="f" style="position:absolute;margin-left:0.05pt;margin-top:0.05pt;width:49.95pt;height:49.95pt;mso-wrap-style:none;v-text-anchor:middle" wp14:anchorId="28EFFE0F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eastAsia="Merriweather"/>
          <w:b/>
          <w:sz w:val="22"/>
          <w:szCs w:val="22"/>
          <w:u w:val="single"/>
        </w:rPr>
        <w:t>DOCUMENTO DE FORMALIZAÇÃO DA DEMANDA (DFD)</w:t>
      </w:r>
    </w:p>
    <w:p>
      <w:pPr>
        <w:pStyle w:val="Normal"/>
        <w:ind w:hanging="2" w:left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tabs>
          <w:tab w:val="clear" w:pos="720"/>
          <w:tab w:val="left" w:pos="495" w:leader="none"/>
        </w:tabs>
        <w:ind w:hanging="2" w:left="0"/>
        <w:rPr>
          <w:sz w:val="22"/>
          <w:szCs w:val="22"/>
        </w:rPr>
      </w:pPr>
      <w:r>
        <w:rPr>
          <w:rFonts w:eastAsia="Merriweather"/>
          <w:sz w:val="22"/>
          <w:szCs w:val="22"/>
        </w:rPr>
        <w:tab/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Setor Requisitante (Secretaria): SECRETARIA DE POLÍTICA HABITACIONAL </w:t>
      </w:r>
    </w:p>
    <w:p>
      <w:pPr>
        <w:pStyle w:val="Normal"/>
        <w:ind w:hanging="2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Responsável pela Demanda: WAGNER TOMA</w:t>
      </w:r>
    </w:p>
    <w:p>
      <w:pPr>
        <w:pStyle w:val="Normal"/>
        <w:ind w:hanging="0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b/>
          <w:sz w:val="22"/>
          <w:szCs w:val="22"/>
          <w:u w:val="single"/>
        </w:rPr>
        <w:t>Objeto</w:t>
      </w:r>
      <w:r>
        <w:rPr>
          <w:rFonts w:eastAsia="Merriweather"/>
          <w:sz w:val="22"/>
          <w:szCs w:val="22"/>
        </w:rPr>
        <w:t xml:space="preserve">: 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(x) Serviço não continuado; 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(  ) Serviço continuado SEM dedicação exclusiva de mão de obra; 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(  ) Serviço continuado COM dedicação exclusiva de mão de obra;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(  ) Material de consumo; 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(  ) Material permanente / equipamento.</w:t>
      </w:r>
    </w:p>
    <w:p>
      <w:pPr>
        <w:pStyle w:val="Normal"/>
        <w:ind w:hanging="0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b/>
          <w:sz w:val="22"/>
          <w:szCs w:val="22"/>
          <w:u w:val="single"/>
        </w:rPr>
        <w:t>Forma de Contratação sugerida</w:t>
      </w:r>
      <w:r>
        <w:rPr>
          <w:rFonts w:eastAsia="Merriweather"/>
          <w:sz w:val="22"/>
          <w:szCs w:val="22"/>
        </w:rPr>
        <w:t>:</w:t>
      </w:r>
    </w:p>
    <w:p>
      <w:pPr>
        <w:pStyle w:val="Normal"/>
        <w:ind w:hanging="2" w:left="0" w:right="-427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(x) Modalidades da Lei n.º 14.133/2021; 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(  ) Pregão Eletrônico;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(x) Concorrência Eletrônica;  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( ) Dispensa/Inexigibilidade; 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( ) Adesão à IRP de outro Órgão.</w:t>
      </w:r>
    </w:p>
    <w:p>
      <w:pPr>
        <w:pStyle w:val="Normal"/>
        <w:ind w:hanging="2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2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Merriweather"/>
          <w:b/>
          <w:sz w:val="22"/>
          <w:szCs w:val="22"/>
        </w:rPr>
        <w:t>Justificativa da necessidade da contratação da solução, considerando o Planejamento Estratégico, se for o caso</w:t>
      </w:r>
      <w:r>
        <w:rPr>
          <w:rFonts w:eastAsia="Merriweather"/>
          <w:sz w:val="22"/>
          <w:szCs w:val="22"/>
        </w:rPr>
        <w:t>:</w:t>
      </w:r>
    </w:p>
    <w:p>
      <w:pPr>
        <w:pStyle w:val="Normal"/>
        <w:ind w:hanging="0" w:left="0"/>
        <w:jc w:val="both"/>
        <w:rPr>
          <w:rFonts w:eastAsia="Merriweather"/>
          <w:b/>
          <w:bCs/>
          <w:sz w:val="22"/>
          <w:szCs w:val="22"/>
        </w:rPr>
      </w:pPr>
      <w:r>
        <w:rPr>
          <w:rFonts w:eastAsia="Merriweather"/>
          <w:b/>
          <w:bCs/>
          <w:sz w:val="22"/>
          <w:szCs w:val="22"/>
        </w:rPr>
      </w:r>
    </w:p>
    <w:p>
      <w:pPr>
        <w:pStyle w:val="Normal"/>
        <w:ind w:hanging="0" w:left="0"/>
        <w:jc w:val="both"/>
        <w:rPr>
          <w:sz w:val="22"/>
          <w:szCs w:val="22"/>
        </w:rPr>
      </w:pPr>
      <w:r>
        <w:rPr>
          <w:rFonts w:eastAsia="Merriweather"/>
          <w:bCs/>
          <w:sz w:val="22"/>
          <w:szCs w:val="22"/>
        </w:rPr>
        <w:t>A presente solicitação tem por objetivo atender à demanda habitacional do Município de Bandeirantes/PR, reduzindo o déficit existente e promovendo melhorias diretas nas condições de vida das famílias de baixa renda, com reflexos positivos nas áreas econômica, social, educacional e de saúde pública.</w:t>
      </w:r>
    </w:p>
    <w:p>
      <w:pPr>
        <w:pStyle w:val="Normal"/>
        <w:ind w:hanging="0" w:left="0"/>
        <w:jc w:val="both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</w:r>
    </w:p>
    <w:p>
      <w:pPr>
        <w:pStyle w:val="Normal"/>
        <w:ind w:hanging="0" w:left="0"/>
        <w:jc w:val="both"/>
        <w:rPr>
          <w:sz w:val="22"/>
          <w:szCs w:val="22"/>
        </w:rPr>
      </w:pPr>
      <w:r>
        <w:rPr>
          <w:rFonts w:eastAsia="Merriweather"/>
          <w:bCs/>
          <w:sz w:val="22"/>
          <w:szCs w:val="22"/>
        </w:rPr>
        <w:t>No âmbito econômico, a iniciativa representa uma oportunidade concreta de acesso à moradia digna para famílias com renda de até três salários mínimos, que, de outro modo, não teriam condições de adquirir uma casa própria. A política habitacional, portanto, contribui para reduzir desigualdades sociais e estimular o desenvolvimento local, gerando emprego e renda durante a execução da obra.</w:t>
      </w:r>
    </w:p>
    <w:p>
      <w:pPr>
        <w:pStyle w:val="Normal"/>
        <w:ind w:hanging="0" w:left="0"/>
        <w:jc w:val="both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</w:r>
    </w:p>
    <w:p>
      <w:pPr>
        <w:pStyle w:val="Normal"/>
        <w:ind w:hanging="0" w:left="0"/>
        <w:jc w:val="both"/>
        <w:rPr>
          <w:sz w:val="22"/>
          <w:szCs w:val="22"/>
        </w:rPr>
      </w:pPr>
      <w:r>
        <w:rPr>
          <w:rFonts w:eastAsia="Merriweather"/>
          <w:bCs/>
          <w:sz w:val="22"/>
          <w:szCs w:val="22"/>
        </w:rPr>
        <w:t>No campo educacional, estudos demonstram que crianças e jovens que dispõem de moradia adequada, segura e confortável apresentam melhor desempenho escolar e maior permanência nas instituições de ensino, em razão da estabilidade familiar e da possibilidade de realizar atividades educacionais em ambiente propício.</w:t>
      </w:r>
    </w:p>
    <w:p>
      <w:pPr>
        <w:pStyle w:val="Normal"/>
        <w:ind w:hanging="0" w:left="0"/>
        <w:jc w:val="both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</w:r>
    </w:p>
    <w:p>
      <w:pPr>
        <w:pStyle w:val="Normal"/>
        <w:ind w:hanging="0" w:left="0"/>
        <w:jc w:val="both"/>
        <w:rPr>
          <w:sz w:val="22"/>
          <w:szCs w:val="22"/>
        </w:rPr>
      </w:pPr>
      <w:r>
        <w:rPr>
          <w:rFonts w:eastAsia="Merriweather"/>
          <w:bCs/>
          <w:sz w:val="22"/>
          <w:szCs w:val="22"/>
        </w:rPr>
        <w:t>Na área da saúde, a melhoria das condições de moradia impacta diretamente na redução de doenças respiratórias, infecciosas e emocionais, comuns em habitações precárias ou superlotadas. O acesso a moradias com saneamento básico e infraestrutura completa promove saúde preventiva e bem-estar físico e mental.</w:t>
      </w:r>
    </w:p>
    <w:p>
      <w:pPr>
        <w:pStyle w:val="Normal"/>
        <w:ind w:hanging="0" w:left="0"/>
        <w:jc w:val="both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</w:r>
    </w:p>
    <w:p>
      <w:pPr>
        <w:pStyle w:val="Normal"/>
        <w:ind w:hanging="0" w:left="0"/>
        <w:jc w:val="both"/>
        <w:rPr>
          <w:sz w:val="22"/>
          <w:szCs w:val="22"/>
        </w:rPr>
      </w:pPr>
      <w:r>
        <w:rPr>
          <w:rFonts w:eastAsia="Merriweather"/>
          <w:bCs/>
          <w:sz w:val="22"/>
          <w:szCs w:val="22"/>
        </w:rPr>
        <w:t>Atualmente, segundo o cadastro de pretendentes da COHAPAR, Bandeirantes possui 3.024 famílias inscritas no sistema estadual, aguardando uma unidade habitacional — seja por ausência de moradia própria ou por residirem em condições de coabitação e vulnerabilidade social. A execução deste projeto representará um avanço expressivo na política pública de habitação de interesse social, mitigando parte do déficit existente.</w:t>
      </w:r>
    </w:p>
    <w:p>
      <w:pPr>
        <w:pStyle w:val="Normal"/>
        <w:ind w:hanging="0" w:left="0"/>
        <w:jc w:val="both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</w:r>
    </w:p>
    <w:p>
      <w:pPr>
        <w:pStyle w:val="Normal"/>
        <w:ind w:hanging="0" w:left="0"/>
        <w:jc w:val="both"/>
        <w:rPr>
          <w:sz w:val="22"/>
          <w:szCs w:val="22"/>
        </w:rPr>
      </w:pPr>
      <w:r>
        <w:rPr>
          <w:rFonts w:eastAsia="Merriweather"/>
          <w:bCs/>
          <w:sz w:val="22"/>
          <w:szCs w:val="22"/>
        </w:rPr>
        <w:t>Os recursos financeiros para a construção das unidades decorrem do Programa FNHIS Sub 50, regulamentado pela Portaria MCID nº 1.416, de 6 de novembro de 2023, que integra o Programa Minha Casa, Minha Vida e destina-se a municípios com até 50 mil habitantes. O programa tem por finalidade a provisão subsidiada de unidades habitacionais em áreas urbanas, utilizando recursos do Fundo Nacional de Habitação de Interesse Social (FNHIS), visando inclusão social e desenvolvimento urbano sustentável.</w:t>
      </w:r>
    </w:p>
    <w:p>
      <w:pPr>
        <w:pStyle w:val="Normal"/>
        <w:ind w:hanging="0" w:left="0"/>
        <w:jc w:val="both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</w:r>
    </w:p>
    <w:p>
      <w:pPr>
        <w:pStyle w:val="Normal"/>
        <w:ind w:hanging="0" w:left="0"/>
        <w:jc w:val="both"/>
        <w:rPr>
          <w:sz w:val="22"/>
          <w:szCs w:val="22"/>
        </w:rPr>
      </w:pPr>
      <w:r>
        <w:rPr>
          <w:rFonts w:eastAsia="Merriweather"/>
          <w:bCs/>
          <w:sz w:val="22"/>
          <w:szCs w:val="22"/>
        </w:rPr>
        <w:t>As moradias contemplarão infraestrutura completa — abastecimento de água, esgotamento sanitário, energia elétrica, drenagem e pavimentação — e seguirão padrão construtivo definido pelo programa, com varanda, sala, dois dormitórios, cozinha, área de serviço e banheiro, incluindo adaptações para pessoas idosas e com deficiência, conforme as normas de acessibilidade vigentes.</w:t>
      </w:r>
    </w:p>
    <w:p>
      <w:pPr>
        <w:pStyle w:val="Normal"/>
        <w:ind w:hanging="0" w:left="0"/>
        <w:jc w:val="both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</w:r>
    </w:p>
    <w:p>
      <w:pPr>
        <w:pStyle w:val="Normal"/>
        <w:ind w:hanging="0" w:left="0"/>
        <w:jc w:val="both"/>
        <w:rPr>
          <w:sz w:val="22"/>
          <w:szCs w:val="22"/>
        </w:rPr>
      </w:pPr>
      <w:r>
        <w:rPr>
          <w:rFonts w:eastAsia="Merriweather"/>
          <w:bCs/>
          <w:sz w:val="22"/>
          <w:szCs w:val="22"/>
        </w:rPr>
        <w:t>Por fim, destaca-se que o Município de Bandeirantes foi contemplado com 50 unidades habitacionais no âmbito do Programa de Aceleração do Crescimento (PAC) – Moradia Digna, conforme o Termo de Compromisso nº 974635/2025/MCIDADES/CAIXA (Operação nº 1100487-82), cujo objeto é a construção de unidades habitacionais com recursos discricionários do FNHIS, consolidando uma política pública alinhada aos objetivos do PPA e da Agenda 2030 (ODS 11 – Cidades e Comunidades Sustentáveis).</w:t>
      </w:r>
    </w:p>
    <w:p>
      <w:pPr>
        <w:pStyle w:val="Normal"/>
        <w:ind w:hanging="0" w:left="0"/>
        <w:jc w:val="both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</w:r>
    </w:p>
    <w:p>
      <w:pPr>
        <w:pStyle w:val="Normal"/>
        <w:ind w:hanging="0" w:left="0"/>
        <w:jc w:val="both"/>
        <w:rPr>
          <w:sz w:val="22"/>
          <w:szCs w:val="22"/>
        </w:rPr>
      </w:pPr>
      <w:r>
        <w:rPr>
          <w:rFonts w:eastAsia="Merriweather"/>
          <w:b/>
          <w:sz w:val="22"/>
          <w:szCs w:val="22"/>
        </w:rPr>
        <w:t>2. Quantidade de material/serviço da solução a ser contratada</w:t>
      </w:r>
      <w:r>
        <w:rPr>
          <w:rFonts w:eastAsia="Merriweather"/>
          <w:sz w:val="22"/>
          <w:szCs w:val="22"/>
        </w:rPr>
        <w:t xml:space="preserve">: </w:t>
      </w:r>
    </w:p>
    <w:p>
      <w:pPr>
        <w:pStyle w:val="Normal"/>
        <w:ind w:hanging="0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spacing w:lineRule="auto" w:line="276"/>
        <w:ind w:hanging="0" w:left="0"/>
        <w:jc w:val="both"/>
        <w:rPr>
          <w:sz w:val="22"/>
          <w:szCs w:val="22"/>
        </w:rPr>
      </w:pPr>
      <w:r>
        <w:rPr>
          <w:rFonts w:eastAsia="Merriweather"/>
          <w:b/>
          <w:sz w:val="22"/>
          <w:szCs w:val="22"/>
        </w:rPr>
        <w:t>PROJETOS DE EDIFICAÇÕES</w:t>
      </w:r>
    </w:p>
    <w:tbl>
      <w:tblPr>
        <w:tblStyle w:val="Tabelacomgrade"/>
        <w:tblW w:w="91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1" w:val="0600"/>
      </w:tblPr>
      <w:tblGrid>
        <w:gridCol w:w="716"/>
        <w:gridCol w:w="5479"/>
        <w:gridCol w:w="1417"/>
        <w:gridCol w:w="1559"/>
      </w:tblGrid>
      <w:tr>
        <w:trPr>
          <w:trHeight w:val="403" w:hRule="atLeast"/>
        </w:trPr>
        <w:tc>
          <w:tcPr>
            <w:tcW w:w="7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2" w:left="-142" w:right="-10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eastAsia="Arial" w:cs="Times New Roman"/>
                <w:b/>
                <w:kern w:val="0"/>
                <w:sz w:val="22"/>
                <w:szCs w:val="22"/>
                <w:lang w:eastAsia="pt-BR" w:bidi="ar-SA"/>
              </w:rPr>
              <w:t>ITEM</w:t>
            </w:r>
          </w:p>
        </w:tc>
        <w:tc>
          <w:tcPr>
            <w:tcW w:w="54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2" w:left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eastAsia="Arial" w:cs="Times New Roman"/>
                <w:b/>
                <w:kern w:val="0"/>
                <w:sz w:val="22"/>
                <w:szCs w:val="22"/>
                <w:lang w:eastAsia="pt-BR" w:bidi="ar-SA"/>
              </w:rPr>
              <w:t>ESPECIFICAÇÃO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2" w:left="-99" w:right="-111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eastAsia="Arial" w:cs="Times New Roman"/>
                <w:b/>
                <w:kern w:val="0"/>
                <w:sz w:val="22"/>
                <w:szCs w:val="22"/>
                <w:lang w:eastAsia="pt-BR" w:bidi="ar-SA"/>
              </w:rPr>
              <w:t>UNIDADE DE MEDIDA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2" w:left="-99" w:right="-111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eastAsia="Arial" w:cs="Times New Roman"/>
                <w:b/>
                <w:kern w:val="0"/>
                <w:sz w:val="22"/>
                <w:szCs w:val="22"/>
                <w:lang w:eastAsia="pt-BR" w:bidi="ar-SA"/>
              </w:rPr>
              <w:t>QUANTIDADE</w:t>
            </w:r>
          </w:p>
        </w:tc>
      </w:tr>
      <w:tr>
        <w:trPr>
          <w:trHeight w:val="1323" w:hRule="atLeast"/>
        </w:trPr>
        <w:tc>
          <w:tcPr>
            <w:tcW w:w="7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2" w:left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eastAsia="Arial" w:cs="Times New Roman"/>
                <w:b/>
                <w:kern w:val="0"/>
                <w:sz w:val="22"/>
                <w:szCs w:val="22"/>
                <w:lang w:eastAsia="pt-BR" w:bidi="ar-SA"/>
              </w:rPr>
              <w:t>01</w:t>
            </w:r>
          </w:p>
        </w:tc>
        <w:tc>
          <w:tcPr>
            <w:tcW w:w="5479" w:type="dxa"/>
            <w:tcBorders/>
            <w:vAlign w:val="center"/>
          </w:tcPr>
          <w:p>
            <w:pPr>
              <w:pStyle w:val="ListParagraph"/>
              <w:spacing w:before="0" w:after="0"/>
              <w:ind w:hanging="2" w:left="0"/>
              <w:contextualSpacing/>
              <w:jc w:val="both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bidi="ar-SA"/>
              </w:rPr>
            </w:pPr>
            <w:r>
              <w:rPr>
                <w:rFonts w:eastAsia="Cambria" w:cs="Times New Roman" w:eastAsiaTheme="minorHAnsi"/>
                <w:b/>
                <w:bCs/>
                <w:kern w:val="0"/>
                <w:sz w:val="22"/>
                <w:szCs w:val="22"/>
                <w:lang w:bidi="ar-SA"/>
              </w:rPr>
              <w:t>CONTRATAÇÃO DE PESSOA JURÍDICA PARA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>
              <w:rPr>
                <w:rFonts w:eastAsia="Cambria" w:cs="Times New Roman" w:eastAsiaTheme="minorHAnsi"/>
                <w:b/>
                <w:bCs/>
                <w:kern w:val="0"/>
                <w:sz w:val="22"/>
                <w:szCs w:val="22"/>
                <w:lang w:bidi="ar-SA"/>
              </w:rPr>
              <w:t xml:space="preserve">OBRA DE ENGENHARIA – CONSTRUÇÃO DE 50 UNIDADES HABITACIONAIS PADRÃO MCMV/FNHIS </w:t>
            </w:r>
            <w:r>
              <w:rPr>
                <w:rFonts w:eastAsia="Cambria" w:cs="Times New Roman" w:eastAsiaTheme="minorHAnsi"/>
                <w:b/>
                <w:bCs/>
                <w:kern w:val="0"/>
                <w:sz w:val="22"/>
                <w:szCs w:val="22"/>
                <w:lang w:val="pt-BR" w:bidi="ar-SA"/>
              </w:rPr>
              <w:t>NO MUNICÍPIO DE BANDEIRANTES-PR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2" w:left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eastAsia="Arial" w:cs="Times New Roman"/>
                <w:kern w:val="0"/>
                <w:sz w:val="22"/>
                <w:szCs w:val="22"/>
                <w:lang w:eastAsia="pt-BR" w:bidi="ar-SA"/>
              </w:rPr>
              <w:t>UND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2" w:left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eastAsia="Arial" w:cs="Times New Roman"/>
                <w:kern w:val="0"/>
                <w:sz w:val="22"/>
                <w:szCs w:val="22"/>
                <w:lang w:eastAsia="pt-BR" w:bidi="ar-SA"/>
              </w:rPr>
              <w:t>50</w:t>
            </w:r>
          </w:p>
        </w:tc>
      </w:tr>
    </w:tbl>
    <w:p>
      <w:pPr>
        <w:pStyle w:val="Normal"/>
        <w:ind w:hanging="0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b/>
          <w:sz w:val="22"/>
          <w:szCs w:val="22"/>
        </w:rPr>
        <w:t>‘</w:t>
      </w:r>
      <w:r>
        <w:rPr>
          <w:rFonts w:eastAsia="Merriweather"/>
          <w:b/>
          <w:sz w:val="22"/>
          <w:szCs w:val="22"/>
        </w:rPr>
        <w:t>3. Previsão de data em que deve ser assinado o instrumento contratual</w:t>
      </w:r>
      <w:r>
        <w:rPr>
          <w:rFonts w:eastAsia="Merriweather"/>
          <w:sz w:val="22"/>
          <w:szCs w:val="22"/>
        </w:rPr>
        <w:t>:</w:t>
      </w:r>
    </w:p>
    <w:p>
      <w:pPr>
        <w:pStyle w:val="Normal"/>
        <w:ind w:hanging="2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1º tri/2026” - Prazo de execução da obra de 18 meses, e prazo de garantia de 5 anos (solidez/segurança conforme CC), a ser determinado em contrato.</w:t>
      </w:r>
    </w:p>
    <w:p>
      <w:pPr>
        <w:pStyle w:val="Normal"/>
        <w:ind w:hanging="2" w:left="0"/>
        <w:jc w:val="both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b/>
          <w:sz w:val="22"/>
          <w:szCs w:val="22"/>
        </w:rPr>
        <w:t>4. Créditos Orçamentários</w:t>
      </w:r>
      <w:r>
        <w:rPr>
          <w:rFonts w:eastAsia="Merriweather"/>
          <w:sz w:val="22"/>
          <w:szCs w:val="22"/>
        </w:rPr>
        <w:t>:</w:t>
      </w:r>
    </w:p>
    <w:p>
      <w:pPr>
        <w:pStyle w:val="Normal"/>
        <w:ind w:hanging="0" w:left="0"/>
        <w:jc w:val="both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4.1. Valor estimado da contratação: </w:t>
      </w:r>
      <w:r>
        <w:rPr>
          <w:rFonts w:eastAsia="Merriweather"/>
          <w:b/>
          <w:sz w:val="22"/>
          <w:szCs w:val="22"/>
        </w:rPr>
        <w:t xml:space="preserve">R$ 6.500.00,00 </w:t>
      </w:r>
      <w:r>
        <w:rPr>
          <w:rFonts w:eastAsia="Merriweather"/>
          <w:bCs/>
          <w:sz w:val="22"/>
          <w:szCs w:val="22"/>
        </w:rPr>
        <w:t>(Seis milhões e quinhentos mil reais);</w:t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bCs/>
          <w:sz w:val="22"/>
          <w:szCs w:val="22"/>
        </w:rPr>
        <w:t>4.2.  A contratação será atendida pelas seguintes dotações: 474-0845</w:t>
      </w:r>
    </w:p>
    <w:p>
      <w:pPr>
        <w:pStyle w:val="Normal"/>
        <w:ind w:hanging="2" w:left="0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</w:r>
    </w:p>
    <w:p>
      <w:pPr>
        <w:pStyle w:val="Normal"/>
        <w:spacing w:lineRule="auto" w:line="360"/>
        <w:ind w:hanging="2" w:left="0"/>
        <w:jc w:val="both"/>
        <w:rPr>
          <w:sz w:val="22"/>
          <w:szCs w:val="22"/>
        </w:rPr>
      </w:pPr>
      <w:r>
        <w:rPr>
          <w:sz w:val="22"/>
          <w:szCs w:val="22"/>
        </w:rPr>
        <w:drawing>
          <wp:inline distT="0" distB="0" distL="0" distR="0">
            <wp:extent cx="6014720" cy="1621790"/>
            <wp:effectExtent l="0" t="0" r="0" b="0"/>
            <wp:docPr id="2" name="Imagem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72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hanging="2" w:left="0"/>
        <w:jc w:val="both"/>
        <w:rPr>
          <w:sz w:val="22"/>
          <w:szCs w:val="22"/>
        </w:rPr>
      </w:pPr>
      <w:r>
        <w:rPr>
          <w:rFonts w:eastAsia="Merriweather"/>
          <w:b/>
          <w:sz w:val="22"/>
          <w:szCs w:val="22"/>
        </w:rPr>
        <w:t>5. Indicação do(s) integrante(s) da equipe de planejamento</w:t>
      </w:r>
      <w:r>
        <w:rPr>
          <w:rFonts w:eastAsia="Merriweather"/>
          <w:sz w:val="22"/>
          <w:szCs w:val="22"/>
        </w:rPr>
        <w:t>:</w:t>
      </w:r>
    </w:p>
    <w:p>
      <w:pPr>
        <w:pStyle w:val="Normal"/>
        <w:ind w:hanging="2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numPr>
          <w:ilvl w:val="0"/>
          <w:numId w:val="1"/>
        </w:numPr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Fiscal Técnico, titular e substituto: Ivan Cesar de Carvalho (titular) Amanda Frezzato Catelan (substituto).</w:t>
      </w:r>
    </w:p>
    <w:p>
      <w:pPr>
        <w:pStyle w:val="Normal"/>
        <w:numPr>
          <w:ilvl w:val="0"/>
          <w:numId w:val="1"/>
        </w:numPr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Assessoria de Planejamento, titular e substituto: LARISSA MACIEL TICIANEL (titular) Amanda Frezzato Catelan (substituto).</w:t>
      </w:r>
    </w:p>
    <w:p>
      <w:pPr>
        <w:pStyle w:val="Normal"/>
        <w:numPr>
          <w:ilvl w:val="0"/>
          <w:numId w:val="1"/>
        </w:numPr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Gestor do Contrato, titular e substituto: WAGNER TOMA (titular) DANIELE APARECIDA MORAES (substituto).</w:t>
      </w:r>
    </w:p>
    <w:p>
      <w:pPr>
        <w:pStyle w:val="Normal"/>
        <w:ind w:hanging="0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spacing w:lineRule="auto" w:line="360"/>
        <w:ind w:hanging="2" w:left="0"/>
        <w:jc w:val="both"/>
        <w:rPr>
          <w:sz w:val="22"/>
          <w:szCs w:val="22"/>
        </w:rPr>
      </w:pPr>
      <w:r>
        <w:rPr>
          <w:rFonts w:eastAsia="Merriweather"/>
          <w:sz w:val="22"/>
          <w:szCs w:val="22"/>
        </w:rPr>
        <w:t>Submeto o Documento de Formalização da Demanda para avaliação.</w:t>
      </w:r>
    </w:p>
    <w:p>
      <w:pPr>
        <w:pStyle w:val="Normal"/>
        <w:spacing w:lineRule="auto" w:line="360"/>
        <w:ind w:hanging="2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spacing w:lineRule="auto" w:line="360"/>
        <w:ind w:hanging="2" w:left="0"/>
        <w:jc w:val="right"/>
        <w:rPr>
          <w:sz w:val="22"/>
          <w:szCs w:val="22"/>
        </w:rPr>
      </w:pPr>
      <w:r>
        <w:rPr>
          <w:rFonts w:eastAsia="Merriweather"/>
          <w:sz w:val="22"/>
          <w:szCs w:val="22"/>
        </w:rPr>
        <w:t>Bandeirantes, 17 de novembro de 2025.</w:t>
      </w:r>
    </w:p>
    <w:p>
      <w:pPr>
        <w:pStyle w:val="Normal"/>
        <w:ind w:hanging="0" w:left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</w:r>
    </w:p>
    <w:p>
      <w:pPr>
        <w:pStyle w:val="Normal"/>
        <w:ind w:hanging="2" w:left="0"/>
        <w:jc w:val="center"/>
        <w:rPr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_____________________________________</w:t>
      </w:r>
    </w:p>
    <w:p>
      <w:pPr>
        <w:pStyle w:val="Normal"/>
        <w:spacing w:lineRule="auto" w:line="360"/>
        <w:ind w:hanging="2" w:left="0"/>
        <w:jc w:val="center"/>
        <w:rPr>
          <w:sz w:val="22"/>
          <w:szCs w:val="22"/>
        </w:rPr>
      </w:pPr>
      <w:r>
        <w:rPr>
          <w:rFonts w:eastAsia="Arial"/>
          <w:b/>
          <w:sz w:val="22"/>
          <w:szCs w:val="22"/>
        </w:rPr>
        <w:t>WAGNER TOMA – Engenheiro Civil</w:t>
      </w:r>
    </w:p>
    <w:p>
      <w:pPr>
        <w:pStyle w:val="Normal"/>
        <w:spacing w:lineRule="auto" w:line="360"/>
        <w:ind w:hanging="2" w:left="0"/>
        <w:jc w:val="center"/>
        <w:rPr>
          <w:sz w:val="22"/>
          <w:szCs w:val="22"/>
        </w:rPr>
      </w:pPr>
      <w:r>
        <w:rPr>
          <w:rFonts w:eastAsia="Merriweather"/>
          <w:sz w:val="22"/>
          <w:szCs w:val="22"/>
        </w:rPr>
        <w:t>SECRETÁRIO MUNICIPAL DE POLITICA HABITACIONAL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274" w:gutter="0" w:header="720" w:top="2410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Nyala"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2" w:left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sz w:val="14"/>
        <w:szCs w:val="14"/>
      </w:rPr>
    </w:pP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sz w:val="14"/>
        <w:szCs w:val="14"/>
      </w:rPr>
    </w:pP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hanging="2" w:left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3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1" allowOverlap="1" relativeHeight="9" wp14:anchorId="17D43C20">
              <wp:simplePos x="0" y="0"/>
              <wp:positionH relativeFrom="column">
                <wp:posOffset>956310</wp:posOffset>
              </wp:positionH>
              <wp:positionV relativeFrom="paragraph">
                <wp:posOffset>-180975</wp:posOffset>
              </wp:positionV>
              <wp:extent cx="5257800" cy="990600"/>
              <wp:effectExtent l="0" t="0" r="0" b="0"/>
              <wp:wrapNone/>
              <wp:docPr id="4" name="Retângu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57800" cy="99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i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Algerian" w:cs="Arial" w:ascii="Arial" w:hAnsi="Arial"/>
                              <w:b/>
                              <w:bCs/>
                              <w:iCs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eastAsia="Algerian" w:cs="Arial" w:ascii="Arial" w:hAnsi="Arial"/>
                              <w:b/>
                              <w:bCs/>
                              <w:iCs/>
                              <w:color w:val="000000"/>
                              <w:sz w:val="32"/>
                              <w:szCs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3" path="m0,0l-2147483645,0l-2147483645,-2147483646l0,-2147483646xe" stroked="f" o:allowincell="f" style="position:absolute;margin-left:75.3pt;margin-top:-14.25pt;width:413.95pt;height:77.95pt;mso-wrap-style:square;v-text-anchor:top" wp14:anchorId="17D43C2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both"/>
                      <w:rPr>
                        <w:rFonts w:ascii="Arial" w:hAnsi="Arial" w:cs="Arial"/>
                        <w:b/>
                        <w:bCs/>
                        <w:iCs/>
                        <w:sz w:val="36"/>
                        <w:szCs w:val="36"/>
                      </w:rPr>
                    </w:pPr>
                    <w:r>
                      <w:rPr>
                        <w:rFonts w:eastAsia="Algerian" w:cs="Arial" w:ascii="Arial" w:hAnsi="Arial"/>
                        <w:b/>
                        <w:bCs/>
                        <w:iCs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</w:rPr>
                    </w:pPr>
                    <w:r>
                      <w:rPr>
                        <w:rFonts w:eastAsia="Algerian" w:cs="Arial" w:ascii="Arial" w:hAnsi="Arial"/>
                        <w:b/>
                        <w:bCs/>
                        <w:iCs/>
                        <w:color w:val="000000"/>
                        <w:sz w:val="32"/>
                        <w:szCs w:val="32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5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1" allowOverlap="1" relativeHeight="9" wp14:anchorId="17D43C20">
              <wp:simplePos x="0" y="0"/>
              <wp:positionH relativeFrom="column">
                <wp:posOffset>956310</wp:posOffset>
              </wp:positionH>
              <wp:positionV relativeFrom="paragraph">
                <wp:posOffset>-180975</wp:posOffset>
              </wp:positionV>
              <wp:extent cx="5257800" cy="990600"/>
              <wp:effectExtent l="0" t="0" r="0" b="0"/>
              <wp:wrapNone/>
              <wp:docPr id="6" name="Retângu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57800" cy="99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i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Algerian" w:cs="Arial" w:ascii="Arial" w:hAnsi="Arial"/>
                              <w:b/>
                              <w:bCs/>
                              <w:iCs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eastAsia="Algerian" w:cs="Arial" w:ascii="Arial" w:hAnsi="Arial"/>
                              <w:b/>
                              <w:bCs/>
                              <w:iCs/>
                              <w:color w:val="000000"/>
                              <w:sz w:val="32"/>
                              <w:szCs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3" path="m0,0l-2147483645,0l-2147483645,-2147483646l0,-2147483646xe" stroked="f" o:allowincell="f" style="position:absolute;margin-left:75.3pt;margin-top:-14.25pt;width:413.95pt;height:77.95pt;mso-wrap-style:square;v-text-anchor:top" wp14:anchorId="17D43C2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both"/>
                      <w:rPr>
                        <w:rFonts w:ascii="Arial" w:hAnsi="Arial" w:cs="Arial"/>
                        <w:b/>
                        <w:bCs/>
                        <w:iCs/>
                        <w:sz w:val="36"/>
                        <w:szCs w:val="36"/>
                      </w:rPr>
                    </w:pPr>
                    <w:r>
                      <w:rPr>
                        <w:rFonts w:eastAsia="Algerian" w:cs="Arial" w:ascii="Arial" w:hAnsi="Arial"/>
                        <w:b/>
                        <w:bCs/>
                        <w:iCs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</w:rPr>
                    </w:pPr>
                    <w:r>
                      <w:rPr>
                        <w:rFonts w:eastAsia="Algerian" w:cs="Arial" w:ascii="Arial" w:hAnsi="Arial"/>
                        <w:b/>
                        <w:bCs/>
                        <w:iCs/>
                        <w:color w:val="000000"/>
                        <w:sz w:val="32"/>
                        <w:szCs w:val="32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PT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ind w:left="3969"/>
      <w:jc w:val="both"/>
    </w:pPr>
    <w:rPr>
      <w:b/>
      <w:szCs w:val="20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RodapChar" w:customStyle="1">
    <w:name w:val="Rodapé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3Char" w:customStyle="1">
    <w:name w:val="Título 3 Char"/>
    <w:qFormat/>
    <w:rPr>
      <w:rFonts w:ascii="Calibri Light" w:hAnsi="Calibri Light" w:eastAsia="Times New Roman" w:cs="Times New Roman"/>
      <w:b/>
      <w:b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Recuodecorpodetexto3Char" w:customStyle="1">
    <w:name w:val="Recuo de corpo de texto 3 Char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Smbolosdenumerao" w:customStyle="1">
    <w:name w:val="Símbolos de numeração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odyTextIndent">
    <w:name w:val="Body Text Indent"/>
    <w:basedOn w:val="Normal"/>
    <w:pPr>
      <w:ind w:firstLine="3118" w:left="851"/>
      <w:jc w:val="both"/>
    </w:pPr>
    <w:rPr>
      <w:sz w:val="28"/>
      <w:szCs w:val="20"/>
    </w:rPr>
  </w:style>
  <w:style w:type="paragraph" w:styleId="BodyTextIndent2">
    <w:name w:val="Body Text Indent 2"/>
    <w:basedOn w:val="Normal"/>
    <w:qFormat/>
    <w:pPr>
      <w:ind w:firstLine="2889" w:left="1080"/>
      <w:jc w:val="both"/>
    </w:pPr>
    <w:rPr>
      <w:bCs/>
      <w:sz w:val="25"/>
      <w:szCs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8"/>
    </w:rPr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Nyala" w:hAnsi="Nyala" w:eastAsia="Calibri" w:cs="Nyala"/>
      <w:color w:val="000000"/>
      <w:kern w:val="0"/>
      <w:position w:val="-1"/>
      <w:sz w:val="24"/>
      <w:szCs w:val="24"/>
      <w:lang w:val="pt-BR" w:eastAsia="en-US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23c8a"/>
    <w:pPr>
      <w:widowControl w:val="false"/>
      <w:suppressAutoHyphens w:val="false"/>
      <w:spacing w:lineRule="auto" w:line="240"/>
      <w:ind w:hanging="0" w:left="687"/>
      <w:textAlignment w:val="auto"/>
      <w:outlineLvl w:val="9"/>
    </w:pPr>
    <w:rPr>
      <w:sz w:val="22"/>
      <w:szCs w:val="22"/>
      <w:lang w:val="pt-PT" w:eastAsia="en-US"/>
    </w:rPr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50575"/>
    <w:rPr>
      <w:lang w:val="pt-B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BMT/kvXGdXs60IolAfDmHywqW3g==">AMUW2mUwpwYEbHbyiDmT8gMg8spRFuCzzpyc0ou0lKnp2CbG/wBz9BuHhcSzpsHi3rvK2oJnEISuSSML/UZB0bWi9MjEgdm2MQ/22OoBqSt45JHkfSuewLY=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9885507-3511-430E-B390-DFE92F57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LibreOffice/7.6.2.1$Windows_X86_64 LibreOffice_project/56f7684011345957bbf33a7ee678afaf4d2ba333</Application>
  <AppVersion>15.0000</AppVersion>
  <Pages>3</Pages>
  <Words>766</Words>
  <Characters>4668</Characters>
  <CharactersWithSpaces>5412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2025-11-17T16:55:00Z</dcterms:created>
  <dc:creator>x</dc:creator>
  <dc:description/>
  <dc:language>pt-BR</dc:language>
  <cp:lastModifiedBy/>
  <cp:lastPrinted>2025-11-12T13:35:00Z</cp:lastPrinted>
  <dcterms:modified xsi:type="dcterms:W3CDTF">2025-12-19T07:55:34Z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